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湛江经济技术开发区第二幼儿园2021年</w:t>
      </w:r>
    </w:p>
    <w:p>
      <w:pPr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教学楼综合楼内外墙维修工程</w:t>
      </w:r>
    </w:p>
    <w:p>
      <w:pPr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为加强对</w:t>
      </w:r>
      <w:r>
        <w:rPr>
          <w:rFonts w:hint="eastAsia" w:ascii="仿宋_GB2312" w:eastAsia="仿宋_GB2312"/>
          <w:sz w:val="30"/>
          <w:szCs w:val="30"/>
          <w:lang w:eastAsia="zh-CN"/>
        </w:rPr>
        <w:t>经开区第二幼儿园教学楼综合楼内外墙维修工程</w:t>
      </w:r>
      <w:r>
        <w:rPr>
          <w:rFonts w:hint="eastAsia" w:ascii="仿宋_GB2312" w:eastAsia="仿宋_GB2312"/>
          <w:sz w:val="30"/>
          <w:szCs w:val="30"/>
        </w:rPr>
        <w:t>资金的使用管理，提高财政资金使用效益，根据《关于印发项目支出绩效评价管理办法的通知》（财预〔2020〕10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湛江经济技术开发区第二幼儿园教学楼综合楼内外墙维修工程项目69.53万元进行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eastAsia="仿宋_GB2312"/>
          <w:b w:val="0"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 w:val="0"/>
          <w:bCs/>
          <w:sz w:val="30"/>
          <w:szCs w:val="30"/>
          <w:lang w:val="en-US" w:eastAsia="zh-CN"/>
        </w:rPr>
        <w:t>经开区</w:t>
      </w:r>
      <w:r>
        <w:rPr>
          <w:rFonts w:hint="eastAsia" w:ascii="仿宋_GB2312" w:eastAsia="仿宋_GB2312"/>
          <w:sz w:val="30"/>
          <w:szCs w:val="30"/>
          <w:lang w:eastAsia="zh-CN"/>
        </w:rPr>
        <w:t>第二幼儿园教学楼综合楼内外墙维修工程</w:t>
      </w:r>
      <w:r>
        <w:rPr>
          <w:rFonts w:hint="eastAsia" w:ascii="仿宋_GB2312" w:eastAsia="仿宋_GB2312"/>
          <w:b w:val="0"/>
          <w:bCs/>
          <w:sz w:val="30"/>
          <w:szCs w:val="30"/>
          <w:lang w:val="en-US" w:eastAsia="zh-CN"/>
        </w:rPr>
        <w:t>2021年经费共计69.53万元，项目单位为湛江经济技术开发区第二幼儿园。项目资金全部用于经开区</w:t>
      </w:r>
      <w:r>
        <w:rPr>
          <w:rFonts w:hint="eastAsia" w:ascii="仿宋_GB2312" w:eastAsia="仿宋_GB2312"/>
          <w:sz w:val="30"/>
          <w:szCs w:val="30"/>
          <w:lang w:eastAsia="zh-CN"/>
        </w:rPr>
        <w:t>第二幼儿园教学楼综合楼内外墙维修等相关</w:t>
      </w:r>
      <w:r>
        <w:rPr>
          <w:rFonts w:hint="eastAsia" w:ascii="仿宋_GB2312" w:eastAsia="仿宋_GB2312"/>
          <w:b w:val="0"/>
          <w:bCs/>
          <w:sz w:val="30"/>
          <w:szCs w:val="30"/>
          <w:lang w:val="en-US" w:eastAsia="zh-CN"/>
        </w:rPr>
        <w:t>。项目地点为湛江经济技术开发区东山街道张云路；建设规模包括外墙装修面积1227.22平方米，厨房装修面积为178.25平方米，楼梯装修面积为138.72平方米；建设内容包括外墙装修、厨房装修、楼梯装修、教学综合楼消防系统、消防管道及室内消防栓安装等；维修工程将改善区</w:t>
      </w:r>
      <w:r>
        <w:rPr>
          <w:rFonts w:hint="eastAsia" w:ascii="仿宋_GB2312" w:eastAsia="仿宋_GB2312"/>
          <w:sz w:val="30"/>
          <w:szCs w:val="30"/>
          <w:lang w:eastAsia="zh-CN"/>
        </w:rPr>
        <w:t>第二幼儿园</w:t>
      </w:r>
      <w:r>
        <w:rPr>
          <w:rFonts w:hint="eastAsia" w:ascii="仿宋_GB2312" w:eastAsia="仿宋_GB2312"/>
          <w:b w:val="0"/>
          <w:bCs/>
          <w:sz w:val="30"/>
          <w:szCs w:val="30"/>
          <w:lang w:val="en-US" w:eastAsia="zh-CN"/>
        </w:rPr>
        <w:t>的教学环境，及时消除安全隐患，确保广大师生人身财产安全，科学、合理配置学校资源，进一步提高办学条件，培养高素质合格人才，营造一个舒适、安全的学习环境，有利进一步提高当地的文化水平。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28" w:leftChars="0"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eastAsia="仿宋_GB2312"/>
          <w:b w:val="0"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 w:val="0"/>
          <w:bCs/>
          <w:sz w:val="30"/>
          <w:szCs w:val="30"/>
          <w:lang w:val="en-US" w:eastAsia="zh-CN"/>
        </w:rPr>
        <w:t>装修外墙、厨房、楼梯、消防栓等工程，及时消除安全隐患，营造一个舒适、安全的学习环境，确保广大师生人身财产安全。“十一五”时期，教育事业的发展要以邓小平理论和“三个代表”重要思想为指导，以科学发展观统领全局，大力实施科教兴国战略和人才强国战略，坚持教育优先发展，促进教育公平，全面贯彻党的教育方针，坚持教育为社会主义现代化建设服务、为人民服务，全面实施素质教育，深化教育改革，提高教育质量，办好让人民群众满意的教育，为全面建设小康社会、构建社会主义和谐社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幼儿园教学楼综合楼内外墙维修工程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2021年度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预算为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80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财政到位资金69.53万元，财政资金到位率86.91%，实际使用金额69.53万元；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从核查情况看，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经开区</w:t>
      </w:r>
      <w:r>
        <w:rPr>
          <w:rFonts w:hint="eastAsia" w:ascii="仿宋_GB2312" w:eastAsia="仿宋_GB2312"/>
          <w:sz w:val="32"/>
          <w:szCs w:val="32"/>
          <w:lang w:eastAsia="zh-CN"/>
        </w:rPr>
        <w:t>第二幼儿园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教学楼综合楼内外墙维修工程的管理及使用情况基本合法合规，未发现存在挤占、截留或挪用专项资金情况，资金支付手续齐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单位组织各相关部门成立了项目建设领导小组，以负责项目过程总体协调和计划安排，并做好项目资金的落实，以及进展工作进度、工作质量、资金安排等方面的管理。项目单位通过公开招标政府采购方式聘请施工方，通过实地踏勘，结合学校实际及长远发展的要求，进行了施工规划。通过预算部门对项目进行了预算，并上报上级部门审批，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装修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项目的经济性</w:t>
      </w: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yellow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本项目属社会公益项目，项目建成后能改善学校的教学环境，及时消除安全隐患，提高区域适龄孩子的就学率，提高当地的教学设施和教育环境，提高学校自身的竞争力，为师生改善了教学环境，带动学生的学习兴趣和老师的教学热情，有效地集中良好的教育资源，让学生在良好的环境下学习，通过提高教学质量以及师资力量，为社会培养人才，提升竞争力，促进竞争，刺激经济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1、项目的实施进度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。湛江经济技术开发区第二幼儿园装修项目已完工，工程已验收。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对幼儿园进行装修，可以为孩子们提供舒适的学习场所，保证幼儿园各种活动正常开展。该项目不仅可以改善幼儿园办学条件、改善幼儿园面貌、提升幼儿园整体形象，让孩子们享受优雅的学习环境，同时推动教育持续发展，为构建和谐社会打下基础。满足教育长期发展的需要和幼儿园发展的需要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28" w:leftChars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主要经验及做法、存在的问题和建议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（一）项目实施的主要经验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1、在工程的装修中，根据资金投入情况，合理安排使用资金，在工程实施中，聘请有资质的监理部门监工，幼儿园派专人负责工程质量的监督，确保工程质量按质按量完成施工。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2、规范管理，加强资金监管，严格按照财政部有关规定，实行专项管理、专账核算、专款专用，提高资金使用效益。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（二）存在的问题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1、前期工作的制度措施方面存在问题。如：没有制定专项资金管理制度，没有编制完整的项目资金使用计划。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2、项目修缮实施过程中，会产生一些污染及噪音，一定程度上影响到师生的课堂体验。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  <w:lang w:eastAsia="zh-CN"/>
        </w:rPr>
        <w:t>（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三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）</w:t>
      </w:r>
      <w:r>
        <w:rPr>
          <w:rFonts w:hint="eastAsia" w:ascii="仿宋_GB2312" w:eastAsia="仿宋_GB2312"/>
          <w:b/>
          <w:sz w:val="30"/>
          <w:szCs w:val="30"/>
        </w:rPr>
        <w:t>解决措施及相关建议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加强经费使用的管理，根据不同工作流程及内容，制定有针对性的资金使用计划，</w:t>
      </w:r>
      <w:r>
        <w:rPr>
          <w:rFonts w:hint="eastAsia" w:ascii="仿宋_GB2312" w:eastAsia="仿宋_GB2312"/>
          <w:sz w:val="30"/>
          <w:szCs w:val="30"/>
        </w:rPr>
        <w:t>提高财政资金使用效益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采取各种有效措施，降低施工过程中产生的噪音；对施工区域、危险区域设立醒目的警示标志，并采取保护措施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3、提前准备，科学规划，在项目前期工作中做到精心策划，聘请有资质的科研单位对项目进行发展规划和可行性认证分析。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4、精心组织，在项目实施过程中抓好项目组织，实行项目负责制，责任到人。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5、抓好计划的实施。按照工程建设进度，做到分部工程督促监督到位，保证项目如期如质的完成。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七、评价结果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根据绩效评价方法，遵循“客观、公证、科学、规范”的原则，采用目标预定与实施效果相比较的评价方法，听取资金使用单位意见的基础上，通过现场答辩、核实相关资料、实地勘验项目等环节，结合现场评价情况，得出绩效评价结果，2021年经开区第二幼儿园教学楼综合楼内外墙维修工程的评价结果为90分（详见附表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0" w:firstLineChars="0"/>
        <w:jc w:val="both"/>
        <w:textAlignment w:val="auto"/>
        <w:rPr>
          <w:rFonts w:hint="default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0" w:firstLineChars="0"/>
        <w:jc w:val="both"/>
        <w:textAlignment w:val="auto"/>
        <w:rPr>
          <w:rFonts w:hint="default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0" w:firstLineChars="0"/>
        <w:jc w:val="both"/>
        <w:textAlignment w:val="auto"/>
        <w:rPr>
          <w:rFonts w:hint="default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0" w:firstLineChars="0"/>
        <w:jc w:val="both"/>
        <w:textAlignment w:val="auto"/>
        <w:rPr>
          <w:rFonts w:hint="default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0" w:firstLineChars="0"/>
        <w:jc w:val="both"/>
        <w:textAlignment w:val="auto"/>
        <w:rPr>
          <w:rFonts w:hint="default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</w:p>
    <w:p>
      <w:pPr>
        <w:jc w:val="both"/>
        <w:rPr>
          <w:rFonts w:hint="eastAsia" w:ascii="仿宋_GB2312" w:eastAsia="仿宋_GB2312"/>
          <w:b w:val="0"/>
          <w:bCs/>
          <w:sz w:val="30"/>
          <w:szCs w:val="30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2022年1月21日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FF67A"/>
    <w:multiLevelType w:val="singleLevel"/>
    <w:tmpl w:val="82BFF67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pPr>
        <w:ind w:left="28"/>
      </w:pPr>
      <w:rPr>
        <w:rFonts w:hint="eastAsia"/>
      </w:rPr>
    </w:lvl>
  </w:abstractNum>
  <w:abstractNum w:abstractNumId="2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pPr>
        <w:ind w:left="28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51FA8"/>
    <w:rsid w:val="07251FA8"/>
    <w:rsid w:val="113A4D4B"/>
    <w:rsid w:val="16474D8E"/>
    <w:rsid w:val="1DC21436"/>
    <w:rsid w:val="2EDC3350"/>
    <w:rsid w:val="3BB61547"/>
    <w:rsid w:val="408732C3"/>
    <w:rsid w:val="48A8413E"/>
    <w:rsid w:val="503A35E5"/>
    <w:rsid w:val="5D2010F1"/>
    <w:rsid w:val="5ED73816"/>
    <w:rsid w:val="5F751060"/>
    <w:rsid w:val="6A4E307F"/>
    <w:rsid w:val="72DE3F0F"/>
    <w:rsid w:val="74F16928"/>
    <w:rsid w:val="7EE8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2262</Words>
  <Characters>2328</Characters>
  <Lines>0</Lines>
  <Paragraphs>0</Paragraphs>
  <TotalTime>0</TotalTime>
  <ScaleCrop>false</ScaleCrop>
  <LinksUpToDate>false</LinksUpToDate>
  <CharactersWithSpaces>2392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2022-03-08T03:05:00Z</dcterms:created>
  <dc:creator>☁ 小云 ☁</dc:creator>
  <cp:lastModifiedBy>Administrator</cp:lastModifiedBy>
  <dcterms:modified xsi:type="dcterms:W3CDTF">2022-03-16T10:04:18Z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C8476CA7227E4DD797EA3F3D962B7E5C</vt:lpwstr>
  </property>
</Properties>
</file>