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 w:hAnsi="仿宋" w:eastAsia="仿宋" w:cs="仿宋"/>
          <w:b/>
          <w:sz w:val="36"/>
          <w:szCs w:val="36"/>
        </w:rPr>
      </w:pPr>
      <w:r>
        <w:rPr>
          <w:rFonts w:hint="eastAsia" w:ascii="仿宋" w:hAnsi="仿宋" w:eastAsia="仿宋" w:cs="仿宋"/>
          <w:b/>
          <w:sz w:val="36"/>
          <w:szCs w:val="36"/>
          <w:lang w:eastAsia="zh-CN"/>
        </w:rPr>
        <w:t>湛江经济技术开发区</w:t>
      </w:r>
      <w:r>
        <w:rPr>
          <w:rFonts w:hint="eastAsia" w:ascii="仿宋" w:hAnsi="仿宋" w:eastAsia="仿宋" w:cs="仿宋"/>
          <w:b/>
          <w:sz w:val="36"/>
          <w:szCs w:val="36"/>
          <w:lang w:val="en-US" w:eastAsia="zh-CN"/>
        </w:rPr>
        <w:t>征地搬迁工作领导小组办公室2021年征地拆迁经费</w:t>
      </w:r>
      <w:r>
        <w:rPr>
          <w:rFonts w:hint="eastAsia" w:ascii="仿宋" w:hAnsi="仿宋" w:eastAsia="仿宋" w:cs="仿宋"/>
          <w:b/>
          <w:sz w:val="36"/>
          <w:szCs w:val="36"/>
        </w:rPr>
        <w:t>绩效评价报告</w:t>
      </w:r>
    </w:p>
    <w:p>
      <w:pPr>
        <w:spacing w:line="590" w:lineRule="exact"/>
        <w:jc w:val="left"/>
        <w:rPr>
          <w:rFonts w:hint="eastAsia" w:ascii="仿宋" w:hAnsi="仿宋" w:eastAsia="仿宋" w:cs="仿宋"/>
          <w:b/>
          <w:sz w:val="36"/>
          <w:szCs w:val="36"/>
        </w:rPr>
      </w:pP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为加强</w:t>
      </w:r>
      <w:r>
        <w:rPr>
          <w:rFonts w:hint="eastAsia" w:ascii="仿宋" w:hAnsi="仿宋" w:eastAsia="仿宋" w:cs="仿宋"/>
          <w:sz w:val="30"/>
          <w:szCs w:val="30"/>
          <w:lang w:eastAsia="zh-CN"/>
        </w:rPr>
        <w:t>财政资金管理</w:t>
      </w:r>
      <w:r>
        <w:rPr>
          <w:rFonts w:hint="eastAsia" w:ascii="仿宋" w:hAnsi="仿宋" w:eastAsia="仿宋" w:cs="仿宋"/>
          <w:sz w:val="30"/>
          <w:szCs w:val="30"/>
        </w:rPr>
        <w:t>，</w:t>
      </w:r>
      <w:r>
        <w:rPr>
          <w:rFonts w:hint="eastAsia" w:ascii="仿宋" w:hAnsi="仿宋" w:eastAsia="仿宋" w:cs="仿宋"/>
          <w:sz w:val="30"/>
          <w:szCs w:val="30"/>
          <w:lang w:eastAsia="zh-CN"/>
        </w:rPr>
        <w:t>强化责任支出，</w:t>
      </w:r>
      <w:r>
        <w:rPr>
          <w:rFonts w:hint="eastAsia" w:ascii="仿宋" w:hAnsi="仿宋" w:eastAsia="仿宋" w:cs="仿宋"/>
          <w:sz w:val="30"/>
          <w:szCs w:val="30"/>
        </w:rPr>
        <w:t>提高财政资金使用效益，</w:t>
      </w:r>
      <w:r>
        <w:rPr>
          <w:rFonts w:hint="eastAsia" w:ascii="仿宋" w:hAnsi="仿宋" w:eastAsia="仿宋" w:cs="仿宋"/>
          <w:sz w:val="30"/>
          <w:szCs w:val="30"/>
          <w:lang w:eastAsia="zh-CN"/>
        </w:rPr>
        <w:t>建立科学合理的财政支出绩效评价体系，</w:t>
      </w:r>
      <w:r>
        <w:rPr>
          <w:rFonts w:hint="eastAsia" w:ascii="仿宋" w:hAnsi="仿宋" w:eastAsia="仿宋" w:cs="仿宋"/>
          <w:sz w:val="30"/>
          <w:szCs w:val="30"/>
        </w:rPr>
        <w:t>根据《关于印发项目支出绩效评价管理办法的通知》（财预〔2020〕10 号）和《广东省财政厅关于印发广东省省级财政绩效评估指南的通知》（粤财绩〔2020〕3 号）要求，</w:t>
      </w:r>
      <w:r>
        <w:rPr>
          <w:rFonts w:hint="eastAsia" w:ascii="仿宋" w:hAnsi="仿宋" w:eastAsia="仿宋" w:cs="仿宋"/>
          <w:sz w:val="30"/>
          <w:szCs w:val="30"/>
          <w:lang w:val="en-US" w:eastAsia="zh-CN"/>
        </w:rPr>
        <w:t>湛江经济技术开发区财政局于2022年01月，</w:t>
      </w:r>
      <w:r>
        <w:rPr>
          <w:rFonts w:hint="eastAsia" w:ascii="仿宋" w:hAnsi="仿宋" w:eastAsia="仿宋" w:cs="仿宋"/>
          <w:sz w:val="30"/>
          <w:szCs w:val="30"/>
        </w:rPr>
        <w:t>对</w:t>
      </w:r>
      <w:r>
        <w:rPr>
          <w:rFonts w:hint="eastAsia" w:ascii="仿宋" w:hAnsi="仿宋" w:eastAsia="仿宋" w:cs="仿宋"/>
          <w:sz w:val="30"/>
          <w:szCs w:val="30"/>
          <w:lang w:val="en-US" w:eastAsia="zh-CN"/>
        </w:rPr>
        <w:t>湛江经济技术开发区征地搬迁工作领导小组办公室2021年征地拆迁经费项目16149.26万元进行</w:t>
      </w:r>
      <w:r>
        <w:rPr>
          <w:rFonts w:hint="eastAsia" w:ascii="仿宋" w:hAnsi="仿宋" w:eastAsia="仿宋" w:cs="仿宋"/>
          <w:sz w:val="30"/>
          <w:szCs w:val="30"/>
        </w:rPr>
        <w:t>重点绩效评价，形成绩效评价报告</w:t>
      </w:r>
      <w:r>
        <w:rPr>
          <w:rFonts w:hint="eastAsia" w:ascii="仿宋" w:hAnsi="仿宋" w:eastAsia="仿宋" w:cs="仿宋"/>
          <w:sz w:val="30"/>
          <w:szCs w:val="30"/>
          <w:lang w:eastAsia="zh-CN"/>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一、项目概况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kern w:val="2"/>
          <w:sz w:val="30"/>
          <w:szCs w:val="30"/>
          <w:lang w:val="en-US" w:eastAsia="zh-CN" w:bidi="ar-SA"/>
        </w:rPr>
        <w:t>2021年征地拆迁经费项目共计使用16149.26万元，项目单位主要为</w:t>
      </w:r>
      <w:r>
        <w:rPr>
          <w:rFonts w:hint="eastAsia" w:ascii="仿宋" w:hAnsi="仿宋" w:eastAsia="仿宋" w:cs="仿宋"/>
          <w:sz w:val="30"/>
          <w:szCs w:val="30"/>
          <w:lang w:val="en-US" w:eastAsia="zh-CN"/>
        </w:rPr>
        <w:t>湛江经济技术开发区征地搬迁工作领导小组办公室。该资金全部统筹用于经开区征地拆迁补偿款费用支出。项目实施范围包括中科项目、东海岛产业、城镇建设项目等等，涉及需补偿内容包括土地、房屋、青苗及地上附着物补偿费等等。征地拆迁主要是为了适应经济发展的需要，引进高质量发展企业，快速拉动各地的经济增长速度，满足地方就业的需要，推动社会可持续发展。</w:t>
      </w:r>
    </w:p>
    <w:p>
      <w:pPr>
        <w:pStyle w:val="4"/>
        <w:keepNext w:val="0"/>
        <w:keepLines w:val="0"/>
        <w:pageBreakBefore w:val="0"/>
        <w:widowControl w:val="0"/>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二、绩效目标</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切实抓好全区征地拆迁工作，做好巴斯夫项目、中科项目、东海岛产业用地项目、钢铁配套园区项目、城镇建设用地项目、石化产业园项目等其他项目的征地拆迁工作，为全区经济社会全面发展拓展充足的空间，完成年度征拆任务。</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积极与各镇街、各相关职能部门搞好征拆工作的联系协作，确保各项征拆工作的开展，及时化解因征拆土地权属等纠纷产生的矛盾问题，解决矛隐患，密切干群关系，维护社会稳定。</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三、项目资金使用及管理情况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i w:val="0"/>
          <w:iCs w:val="0"/>
          <w:caps w:val="0"/>
          <w:color w:val="222222"/>
          <w:spacing w:val="0"/>
          <w:sz w:val="30"/>
          <w:szCs w:val="30"/>
          <w:shd w:val="clear" w:fill="FFFFFF"/>
          <w:lang w:val="en-US" w:eastAsia="zh-CN"/>
        </w:rPr>
        <w:t>征地拆迁经费项目2021年度预算为17465万元，财政到位资金16149.26万元，财政资金到位率92.47%。</w:t>
      </w:r>
      <w:r>
        <w:rPr>
          <w:rFonts w:hint="eastAsia" w:ascii="仿宋" w:hAnsi="仿宋" w:eastAsia="仿宋" w:cs="仿宋"/>
          <w:kern w:val="2"/>
          <w:sz w:val="30"/>
          <w:szCs w:val="30"/>
          <w:highlight w:val="none"/>
          <w:lang w:val="en-US" w:eastAsia="zh-CN" w:bidi="ar-SA"/>
        </w:rPr>
        <w:t>项目支出金额</w:t>
      </w:r>
      <w:r>
        <w:rPr>
          <w:rFonts w:hint="eastAsia" w:ascii="仿宋" w:hAnsi="仿宋" w:eastAsia="仿宋" w:cs="仿宋"/>
          <w:i w:val="0"/>
          <w:iCs w:val="0"/>
          <w:caps w:val="0"/>
          <w:color w:val="222222"/>
          <w:spacing w:val="0"/>
          <w:sz w:val="30"/>
          <w:szCs w:val="30"/>
          <w:shd w:val="clear" w:fill="FFFFFF"/>
          <w:lang w:val="en-US" w:eastAsia="zh-CN"/>
        </w:rPr>
        <w:t>16149.26</w:t>
      </w:r>
      <w:r>
        <w:rPr>
          <w:rFonts w:hint="eastAsia" w:ascii="仿宋" w:hAnsi="仿宋" w:eastAsia="仿宋" w:cs="仿宋"/>
          <w:sz w:val="30"/>
          <w:szCs w:val="30"/>
          <w:highlight w:val="none"/>
          <w:lang w:val="en-US" w:eastAsia="zh-CN"/>
        </w:rPr>
        <w:t>万元</w:t>
      </w:r>
      <w:r>
        <w:rPr>
          <w:rFonts w:hint="eastAsia" w:ascii="仿宋" w:hAnsi="仿宋" w:eastAsia="仿宋" w:cs="仿宋"/>
          <w:kern w:val="2"/>
          <w:sz w:val="30"/>
          <w:szCs w:val="30"/>
          <w:highlight w:val="none"/>
          <w:lang w:val="en-US" w:eastAsia="zh-CN" w:bidi="ar-SA"/>
        </w:rPr>
        <w:t>，已全部核拨到补助对象账户，财政资金支出率为100%。从核查情况看，征地拆迁经费工作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四、项目组织管理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sz w:val="30"/>
          <w:szCs w:val="30"/>
          <w:lang w:val="en-US" w:eastAsia="zh-CN"/>
        </w:rPr>
        <w:t>征地拆迁经费工作项目在实施过程比较规范，专门设置征拆工作办公室负责全区征拆工作，</w:t>
      </w:r>
      <w:r>
        <w:rPr>
          <w:rFonts w:hint="eastAsia" w:ascii="仿宋" w:hAnsi="仿宋" w:eastAsia="仿宋" w:cs="仿宋"/>
          <w:b w:val="0"/>
          <w:bCs/>
          <w:sz w:val="30"/>
          <w:szCs w:val="30"/>
          <w:lang w:val="en-US" w:eastAsia="zh-CN"/>
        </w:rPr>
        <w:t>做好征收土地工作的前期准备，将征拆任务层层分解到乡镇，到负责人。</w:t>
      </w:r>
      <w:r>
        <w:rPr>
          <w:rFonts w:hint="eastAsia" w:ascii="仿宋" w:hAnsi="仿宋" w:eastAsia="仿宋" w:cs="仿宋"/>
          <w:sz w:val="30"/>
          <w:szCs w:val="30"/>
          <w:lang w:val="en-US" w:eastAsia="zh-CN"/>
        </w:rPr>
        <w:t>在公开机制方面较为规范，信息化管理较为健全，履行手续完备。资金使用按照相关文件要求，未发现存在挤占、截留或挪用征拆资金情况。资金支付手续齐全，没有发现超范围和超标准使用资金，财务制度较为规范，能够按照制度办理结算和会计核算。项目的监管比较到位，及时关注被拆迁拆迁人员的居住及补偿情况。</w:t>
      </w:r>
      <w:r>
        <w:rPr>
          <w:rFonts w:hint="eastAsia" w:ascii="仿宋" w:hAnsi="仿宋" w:eastAsia="仿宋" w:cs="仿宋"/>
          <w:kern w:val="2"/>
          <w:sz w:val="30"/>
          <w:szCs w:val="30"/>
          <w:highlight w:val="none"/>
          <w:lang w:val="en-US" w:eastAsia="zh-CN" w:bidi="ar-SA"/>
        </w:rPr>
        <w:t>项目各项工作经费使用也按国家和省财务管理制度执行，从而确保了该项目的顺利组织、实施与完成。</w:t>
      </w:r>
    </w:p>
    <w:p>
      <w:pPr>
        <w:pStyle w:val="4"/>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项目绩效情况</w:t>
      </w:r>
    </w:p>
    <w:p>
      <w:pPr>
        <w:pStyle w:val="4"/>
        <w:keepNext w:val="0"/>
        <w:keepLines w:val="0"/>
        <w:pageBreakBefore w:val="0"/>
        <w:widowControl w:val="0"/>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（一）项目的经济性分析</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kern w:val="2"/>
          <w:sz w:val="30"/>
          <w:szCs w:val="30"/>
          <w:lang w:val="en-US" w:eastAsia="zh-CN" w:bidi="ar-SA"/>
        </w:rPr>
        <w:t>国家征收土地、将土地变为国有土地是国家推动经济可持续发展的手段，也是人民改善生活条件的契机。将征地用于工业园区用地建设等，有助于优化农村剩余劳动向第二产业转移，增加就业，优化农村产业结构。该项目的实施具有明显的产业带动和社会经济效益，促进社会经济可持续发展。</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（二）项目的效率性分析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项目实施过程能够按照计划进行，阶段性目标清晰，按照进度开展项目，在实施过程中取得良好效益。征拆项目资金用于补偿拆迁户，给予拆迁户更加优越的居住条件，大大改善了他们的生活条件。项目过程合规合法，工程进度款按照规定审请审批支付，手续规范，建设内容符合规定。该项目资金的管理及使用情况基本符合规定，未发现存在挤占、截留或挪用扶贫专项资金情况，没有发现超范围和超标准使用资金。财务制度较为规范，能够按照制度办理结算和会计核算。项目公开机制方面较为规范，已落实行政村公示制度，相关内容已及时上墙公示，信息化管理较为健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b/>
          <w:bCs/>
          <w:kern w:val="2"/>
          <w:sz w:val="30"/>
          <w:szCs w:val="30"/>
          <w:lang w:val="en-US" w:eastAsia="zh-CN" w:bidi="ar-SA"/>
        </w:rPr>
        <w:t>（三）项目的效益性分析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通过实施该项目，依法征地拆迁，及时化解因征拆土地权属等纠纷产生的矛盾问题，密切了干群关系，维护社会稳定;各项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征拆工作顺利开展，切实改变城乡面貌，不断提升城市品质;积极宣传，广大被征地农户对我县现行征地政策及补偿标准等几乎家喻户晓:征地拆迁工作阳光透明、公正公开，得到广大群众的普遍拥护;本着“亲民、为民、便民”的工作态度，热情服务、积极做好各项工作，深得广大群众的支持理解及肯定。依法征地拆迁，坚持城乡规划引领城镇发展，科学合理布局生产建设、生活居住、公共设施，统筹工业区、商业区、生活区，以及村庄、工地、林地等的空间布局，实现人与自然的和谐，项目社会生态环境效益良好。</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28" w:leftChars="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主要经验及做法、存在的问题和建议</w:t>
      </w:r>
    </w:p>
    <w:p>
      <w:pPr>
        <w:pStyle w:val="4"/>
        <w:keepNext w:val="0"/>
        <w:keepLines w:val="0"/>
        <w:pageBreakBefore w:val="0"/>
        <w:widowControl w:val="0"/>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（一）项目实施的主要经验</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1、加强宣传，利用各种宣传媒介，向社会和广大基层民众深入宣传征地拆迁政策的目的和意义，形成政府引导、民众支持、社会参与的良好氛围和舆论环境。</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2、规范管理，加强资金监管，严格按照财政部有关规定，实行专项管理、专账核算、专款专用，提高资金使用效益。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3、严格按照国家、省及市的征拆工作要求做好征拆补助对象资料的整理工作，规范资料档案的管理。</w:t>
      </w:r>
    </w:p>
    <w:p>
      <w:pPr>
        <w:pStyle w:val="4"/>
        <w:keepNext w:val="0"/>
        <w:keepLines w:val="0"/>
        <w:pageBreakBefore w:val="0"/>
        <w:widowControl w:val="0"/>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（二）存在问题</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1、被征地农民因对被征拆政策及补助标准不了解，对政府的征拆补偿工作不配合，导致征拆工作进度慢，延误工程项目施工。</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2、征收形式不够规范，有关征收的解释工作过于粗糙，即使足额补偿，住户仍然心存疑虑。</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3、项目预算编制可进一步完善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经核查资料，项目预算编制仅有一个总金额为17465万元，未细化到具体哪个项目等项目内容支出部分，项目预算可进一步完善。</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七、相关建议</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1、强化征拆资金监管。优化制度设计，</w:t>
      </w:r>
      <w:r>
        <w:rPr>
          <w:rFonts w:hint="eastAsia" w:ascii="仿宋" w:hAnsi="仿宋" w:eastAsia="仿宋" w:cs="仿宋"/>
          <w:kern w:val="2"/>
          <w:sz w:val="30"/>
          <w:szCs w:val="30"/>
          <w:lang w:val="en-US" w:eastAsia="zh-CN" w:bidi="ar-SA"/>
        </w:rPr>
        <w:t>根据社会发展的需要，进一步制定和完善各类征地拆迁政策，优化制度，完善机制。</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2、建议以各镇街主体，以村为集体，提前安排一名工作负责人负责征拆工作，对群众讲解征拆政策的重要性，化解群众的心理担忧，同时多听取群众意见，采纳群众的合理建议。</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3、加强征地拆迁项目实施过程的管理，根据不同的征地项目性质，制定有针对性的资金使用计划。</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4、细化项目预算资金组成，保证项目预算编制依据充分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八、评价结果</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根据绩效评价方法，遵循“客观、公证、科学、规范”的原则，采用目标预定与实施效果相比较的评价方法，听取资金使用单位意见的基础上，通过现场答辩、核实相关资料、实地勘验项目等环节，结合现场评价情况，得出绩效评价结果，2021年征地拆迁经费项目的评价结果为89分（详见附表）。</w:t>
      </w: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0" w:firstLineChars="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3900" w:firstLineChars="13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rPr>
          <w:rFonts w:hint="eastAsia" w:ascii="仿宋" w:hAnsi="仿宋" w:eastAsia="仿宋" w:cs="仿宋"/>
          <w:lang w:val="en-US" w:eastAsia="zh-CN"/>
        </w:rPr>
      </w:pPr>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09E7C6"/>
    <w:multiLevelType w:val="singleLevel"/>
    <w:tmpl w:val="D509E7C6"/>
    <w:lvl w:ilvl="0" w:tentative="0">
      <w:start w:val="6"/>
      <w:numFmt w:val="chineseCounting"/>
      <w:suff w:val="nothing"/>
      <w:lvlText w:val="%1、"/>
      <w:lvlJc w:val="left"/>
      <w:pPr>
        <w:ind w:left="28"/>
      </w:pPr>
      <w:rPr>
        <w:rFonts w:hint="eastAsia"/>
      </w:rPr>
    </w:lvl>
  </w:abstractNum>
  <w:abstractNum w:abstractNumId="1">
    <w:nsid w:val="3E5596DA"/>
    <w:multiLevelType w:val="singleLevel"/>
    <w:tmpl w:val="3E5596DA"/>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47489"/>
    <w:rsid w:val="030E3C17"/>
    <w:rsid w:val="056F72B2"/>
    <w:rsid w:val="09EC7438"/>
    <w:rsid w:val="0A2D3298"/>
    <w:rsid w:val="0E100F06"/>
    <w:rsid w:val="11190CBD"/>
    <w:rsid w:val="14170BBA"/>
    <w:rsid w:val="14E530ED"/>
    <w:rsid w:val="172C4E0F"/>
    <w:rsid w:val="1A2C55E2"/>
    <w:rsid w:val="1CA7301D"/>
    <w:rsid w:val="1F4B7FF0"/>
    <w:rsid w:val="1FF47489"/>
    <w:rsid w:val="253F7780"/>
    <w:rsid w:val="29D04A09"/>
    <w:rsid w:val="2AD90C23"/>
    <w:rsid w:val="2F2C4ED8"/>
    <w:rsid w:val="32410F32"/>
    <w:rsid w:val="345E3EEB"/>
    <w:rsid w:val="3ABB3E24"/>
    <w:rsid w:val="3D1E1E7A"/>
    <w:rsid w:val="403A3A80"/>
    <w:rsid w:val="457C2402"/>
    <w:rsid w:val="59914276"/>
    <w:rsid w:val="5BD14DFE"/>
    <w:rsid w:val="6B250CC2"/>
    <w:rsid w:val="70E8780D"/>
    <w:rsid w:val="73610D05"/>
    <w:rsid w:val="7DC42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2022-03-04T07:33:00Z</dcterms:created>
  <dc:creator>☁ 小云 ☁</dc:creator>
  <cp:lastModifiedBy>Administrator</cp:lastModifiedBy>
  <dcterms:modified xsi:type="dcterms:W3CDTF">2022-03-16T09:01:30Z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9C38706AAF2F426D96F9F4DA6D0F16BE</vt:lpwstr>
  </property>
</Properties>
</file>