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湛江经济技术开发区东山街道办事处</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美丽乡村建设工作经费</w:t>
      </w:r>
      <w:r>
        <w:rPr>
          <w:rFonts w:hint="eastAsia" w:ascii="仿宋_GB2312" w:eastAsia="仿宋_GB2312"/>
          <w:b/>
          <w:sz w:val="36"/>
          <w:szCs w:val="36"/>
        </w:rPr>
        <w:t>绩效评价报告</w:t>
      </w:r>
    </w:p>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w:t>
      </w:r>
      <w:r>
        <w:rPr>
          <w:rFonts w:hint="eastAsia" w:ascii="仿宋_GB2312" w:eastAsia="仿宋_GB2312"/>
          <w:sz w:val="30"/>
          <w:szCs w:val="30"/>
          <w:lang w:val="en-US" w:eastAsia="zh-CN"/>
        </w:rPr>
        <w:t>美丽乡村建设工作经费</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湛江经济技术开发区东山街道办事处2021年美丽乡村建设工作经费19.96万元进行重点绩效评价，形成绩效评价报告。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keepNext w:val="0"/>
        <w:keepLines w:val="0"/>
        <w:widowControl/>
        <w:suppressLineNumbers w:val="0"/>
        <w:ind w:firstLine="600" w:firstLineChars="200"/>
        <w:jc w:val="left"/>
      </w:pPr>
      <w:r>
        <w:rPr>
          <w:rFonts w:hint="eastAsia" w:ascii="仿宋_GB2312" w:eastAsia="仿宋_GB2312"/>
          <w:sz w:val="30"/>
          <w:szCs w:val="30"/>
          <w:lang w:val="en-US" w:eastAsia="zh-CN"/>
        </w:rPr>
        <w:t>美丽乡村建设经费支出</w:t>
      </w:r>
      <w:r>
        <w:rPr>
          <w:rFonts w:hint="eastAsia" w:ascii="仿宋_GB2312" w:eastAsia="仿宋_GB2312" w:cs="Times New Roman"/>
          <w:kern w:val="2"/>
          <w:sz w:val="30"/>
          <w:szCs w:val="30"/>
          <w:lang w:val="en-US" w:eastAsia="zh-CN" w:bidi="ar-SA"/>
        </w:rPr>
        <w:t>共计</w:t>
      </w:r>
      <w:r>
        <w:rPr>
          <w:rFonts w:hint="eastAsia" w:ascii="仿宋_GB2312" w:eastAsia="仿宋_GB2312"/>
          <w:sz w:val="30"/>
          <w:szCs w:val="30"/>
          <w:lang w:val="en-US" w:eastAsia="zh-CN"/>
        </w:rPr>
        <w:t>19.96</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湛江经济技术开发区东山街道办事处。</w:t>
      </w:r>
      <w:r>
        <w:rPr>
          <w:rFonts w:hint="eastAsia" w:ascii="仿宋_GB2312" w:eastAsia="仿宋_GB2312" w:cs="Times New Roman"/>
          <w:kern w:val="2"/>
          <w:sz w:val="30"/>
          <w:szCs w:val="30"/>
          <w:lang w:val="en-US" w:eastAsia="zh-CN" w:bidi="ar-SA"/>
        </w:rPr>
        <w:t>全面建成小康社会，必须大力实施</w:t>
      </w:r>
      <w:r>
        <w:rPr>
          <w:rFonts w:hint="default" w:ascii="仿宋_GB2312" w:eastAsia="仿宋_GB2312" w:cs="Times New Roman"/>
          <w:kern w:val="2"/>
          <w:sz w:val="30"/>
          <w:szCs w:val="30"/>
          <w:lang w:val="en-US" w:eastAsia="zh-CN" w:bidi="ar-SA"/>
        </w:rPr>
        <w:t>“</w:t>
      </w:r>
      <w:r>
        <w:rPr>
          <w:rFonts w:hint="eastAsia" w:ascii="仿宋_GB2312" w:eastAsia="仿宋_GB2312" w:cs="Times New Roman"/>
          <w:kern w:val="2"/>
          <w:sz w:val="30"/>
          <w:szCs w:val="30"/>
          <w:lang w:val="en-US" w:eastAsia="zh-CN" w:bidi="ar-SA"/>
        </w:rPr>
        <w:t>整洁美丽，和谐宜居</w:t>
      </w:r>
      <w:r>
        <w:rPr>
          <w:rFonts w:hint="default" w:ascii="仿宋_GB2312" w:eastAsia="仿宋_GB2312" w:cs="Times New Roman"/>
          <w:kern w:val="2"/>
          <w:sz w:val="30"/>
          <w:szCs w:val="30"/>
          <w:lang w:val="en-US" w:eastAsia="zh-CN" w:bidi="ar-SA"/>
        </w:rPr>
        <w:t>”</w:t>
      </w:r>
      <w:r>
        <w:rPr>
          <w:rFonts w:hint="eastAsia" w:ascii="仿宋_GB2312" w:eastAsia="仿宋_GB2312" w:cs="Times New Roman"/>
          <w:kern w:val="2"/>
          <w:sz w:val="30"/>
          <w:szCs w:val="30"/>
          <w:lang w:val="en-US" w:eastAsia="zh-CN" w:bidi="ar-SA"/>
        </w:rPr>
        <w:t xml:space="preserve">新农村建设行动，通过加快发展现代农业，加强农村生产生活设施建设、提升农村公共服务水平、改善农村人居环境、倡导农村文明新风，着力补农业农村发展短板，促进农村生产生活生态协调发展，帮助农民建设幸福生活的美好家园。通过整治建设村庄、美化农村环境、倡导乡风文明、创建和谐乡村，努力把东山街道广大农村建成整洁美丽、和谐宜居新农村，全面展现美丽东山新风貌。 </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widowControl/>
        <w:suppressLineNumbers w:val="0"/>
        <w:ind w:firstLine="600" w:firstLineChars="200"/>
        <w:jc w:val="left"/>
      </w:pPr>
      <w:r>
        <w:rPr>
          <w:rFonts w:hint="eastAsia" w:ascii="仿宋_GB2312" w:eastAsia="仿宋_GB2312" w:cs="Times New Roman"/>
          <w:kern w:val="2"/>
          <w:sz w:val="30"/>
          <w:szCs w:val="30"/>
          <w:lang w:val="en-US" w:eastAsia="zh-CN" w:bidi="ar-SA"/>
        </w:rPr>
        <w:t>建设本项目是为更好的促进东山街道的整体发展，带动当地社会经济、文化、交通和环境。通过本项目的实施，建设农村垃圾处理工程能够减少污染、预防疾病发生，促进人民群众身体健康。全面开展农村人居环境综合整治，全方位配套建设乡村基础设施和公共服务设施，努力建设一批生态优、环境美、产业兴、人气旺、民风淳的美丽城镇乡村，让城镇乡村生活更加便捷、更有品质、更加美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hAnsi="Times New Roman" w:eastAsia="仿宋_GB2312" w:cs="Times New Roman"/>
          <w:b/>
          <w:bCs/>
          <w:color w:val="auto"/>
          <w:kern w:val="2"/>
          <w:sz w:val="30"/>
          <w:szCs w:val="30"/>
          <w:lang w:val="en-US" w:eastAsia="zh-CN" w:bidi="ar-SA"/>
        </w:rPr>
      </w:pPr>
      <w:r>
        <w:rPr>
          <w:rFonts w:hint="eastAsia" w:ascii="仿宋_GB2312" w:eastAsia="仿宋_GB2312" w:cs="Times New Roman"/>
          <w:b/>
          <w:bCs/>
          <w:color w:val="auto"/>
          <w:kern w:val="2"/>
          <w:sz w:val="30"/>
          <w:szCs w:val="30"/>
          <w:lang w:val="en-US" w:eastAsia="zh-CN" w:bidi="ar-SA"/>
        </w:rPr>
        <w:t>三、</w:t>
      </w:r>
      <w:r>
        <w:rPr>
          <w:rFonts w:hint="eastAsia" w:ascii="仿宋_GB2312" w:hAnsi="Times New Roman" w:eastAsia="仿宋_GB2312" w:cs="Times New Roman"/>
          <w:b/>
          <w:bCs/>
          <w:color w:val="auto"/>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eastAsia="仿宋_GB2312"/>
          <w:color w:val="auto"/>
          <w:sz w:val="30"/>
          <w:szCs w:val="30"/>
          <w:lang w:val="en-US" w:eastAsia="zh-CN"/>
        </w:rPr>
      </w:pPr>
      <w:r>
        <w:rPr>
          <w:rFonts w:hint="eastAsia" w:ascii="仿宋_GB2312" w:eastAsia="仿宋_GB2312"/>
          <w:sz w:val="30"/>
          <w:szCs w:val="30"/>
          <w:lang w:val="en-US" w:eastAsia="zh-CN"/>
        </w:rPr>
        <w:t>美丽乡村建设工作经费</w:t>
      </w:r>
      <w:r>
        <w:rPr>
          <w:rFonts w:hint="eastAsia" w:ascii="仿宋_GB2312" w:hAnsi="Times New Roman" w:eastAsia="仿宋_GB2312" w:cs="Times New Roman"/>
          <w:color w:val="auto"/>
          <w:kern w:val="2"/>
          <w:sz w:val="30"/>
          <w:szCs w:val="30"/>
          <w:highlight w:val="none"/>
          <w:lang w:val="en-US" w:eastAsia="zh-CN" w:bidi="ar-SA"/>
        </w:rPr>
        <w:t>预算为</w:t>
      </w:r>
      <w:r>
        <w:rPr>
          <w:rFonts w:hint="eastAsia" w:ascii="仿宋_GB2312" w:eastAsia="仿宋_GB2312" w:cs="Times New Roman"/>
          <w:color w:val="auto"/>
          <w:kern w:val="2"/>
          <w:sz w:val="30"/>
          <w:szCs w:val="30"/>
          <w:highlight w:val="none"/>
          <w:lang w:val="en-US" w:eastAsia="zh-CN" w:bidi="ar-SA"/>
        </w:rPr>
        <w:t>20.00</w:t>
      </w:r>
      <w:r>
        <w:rPr>
          <w:rFonts w:hint="eastAsia" w:ascii="仿宋_GB2312" w:hAnsi="Times New Roman" w:eastAsia="仿宋_GB2312" w:cs="Times New Roman"/>
          <w:color w:val="auto"/>
          <w:kern w:val="2"/>
          <w:sz w:val="30"/>
          <w:szCs w:val="30"/>
          <w:highlight w:val="none"/>
          <w:lang w:val="en-US" w:eastAsia="zh-CN" w:bidi="ar-SA"/>
        </w:rPr>
        <w:t>万元，财政资金到位金额</w:t>
      </w:r>
      <w:r>
        <w:rPr>
          <w:rFonts w:hint="eastAsia" w:ascii="仿宋_GB2312" w:eastAsia="仿宋_GB2312" w:cs="Times New Roman"/>
          <w:color w:val="auto"/>
          <w:kern w:val="2"/>
          <w:sz w:val="30"/>
          <w:szCs w:val="30"/>
          <w:lang w:val="en-US" w:eastAsia="zh-CN" w:bidi="ar-SA"/>
        </w:rPr>
        <w:t>19.96</w:t>
      </w:r>
      <w:r>
        <w:rPr>
          <w:rFonts w:hint="eastAsia" w:ascii="仿宋_GB2312" w:hAnsi="Times New Roman" w:eastAsia="仿宋_GB2312" w:cs="Times New Roman"/>
          <w:color w:val="auto"/>
          <w:kern w:val="2"/>
          <w:sz w:val="30"/>
          <w:szCs w:val="30"/>
          <w:highlight w:val="none"/>
          <w:lang w:val="en-US" w:eastAsia="zh-CN" w:bidi="ar-SA"/>
        </w:rPr>
        <w:t>万元，财政资金到位率</w:t>
      </w:r>
      <w:r>
        <w:rPr>
          <w:rFonts w:hint="eastAsia" w:ascii="仿宋_GB2312" w:eastAsia="仿宋_GB2312" w:cs="Times New Roman"/>
          <w:color w:val="auto"/>
          <w:kern w:val="2"/>
          <w:sz w:val="30"/>
          <w:szCs w:val="30"/>
          <w:highlight w:val="none"/>
          <w:lang w:val="en-US" w:eastAsia="zh-CN" w:bidi="ar-SA"/>
        </w:rPr>
        <w:t>99.80</w:t>
      </w:r>
      <w:r>
        <w:rPr>
          <w:rFonts w:hint="eastAsia" w:ascii="仿宋_GB2312" w:hAnsi="Times New Roman" w:eastAsia="仿宋_GB2312" w:cs="Times New Roman"/>
          <w:color w:val="auto"/>
          <w:kern w:val="2"/>
          <w:sz w:val="30"/>
          <w:szCs w:val="30"/>
          <w:highlight w:val="none"/>
          <w:lang w:val="en-US" w:eastAsia="zh-CN" w:bidi="ar-SA"/>
        </w:rPr>
        <w:t>%，项目支出金额</w:t>
      </w:r>
      <w:r>
        <w:rPr>
          <w:rFonts w:hint="eastAsia" w:ascii="仿宋_GB2312" w:eastAsia="仿宋_GB2312" w:cs="Times New Roman"/>
          <w:color w:val="auto"/>
          <w:kern w:val="2"/>
          <w:sz w:val="30"/>
          <w:szCs w:val="30"/>
          <w:lang w:val="en-US" w:eastAsia="zh-CN" w:bidi="ar-SA"/>
        </w:rPr>
        <w:t>19.96</w:t>
      </w:r>
      <w:r>
        <w:rPr>
          <w:rFonts w:hint="eastAsia" w:ascii="仿宋_GB2312" w:hAnsi="Times New Roman" w:eastAsia="仿宋_GB2312" w:cs="Times New Roman"/>
          <w:color w:val="auto"/>
          <w:kern w:val="2"/>
          <w:sz w:val="30"/>
          <w:szCs w:val="30"/>
          <w:highlight w:val="none"/>
          <w:lang w:val="en-US" w:eastAsia="zh-CN" w:bidi="ar-SA"/>
        </w:rPr>
        <w:t>万元，</w:t>
      </w:r>
      <w:r>
        <w:rPr>
          <w:rFonts w:hint="eastAsia" w:ascii="仿宋_GB2312" w:eastAsia="仿宋_GB2312" w:cs="Times New Roman"/>
          <w:color w:val="auto"/>
          <w:kern w:val="2"/>
          <w:sz w:val="30"/>
          <w:szCs w:val="30"/>
          <w:highlight w:val="none"/>
          <w:lang w:val="en-US" w:eastAsia="zh-CN" w:bidi="ar-SA"/>
        </w:rPr>
        <w:t>已全部投入</w:t>
      </w:r>
      <w:r>
        <w:rPr>
          <w:rFonts w:hint="eastAsia" w:ascii="仿宋_GB2312" w:eastAsia="仿宋_GB2312"/>
          <w:color w:val="auto"/>
          <w:sz w:val="30"/>
          <w:szCs w:val="30"/>
          <w:lang w:val="en-US" w:eastAsia="zh-CN"/>
        </w:rPr>
        <w:t>美丽乡村建设</w:t>
      </w:r>
      <w:r>
        <w:rPr>
          <w:rFonts w:hint="eastAsia" w:ascii="仿宋_GB2312" w:eastAsia="仿宋_GB2312" w:cs="Times New Roman"/>
          <w:color w:val="auto"/>
          <w:kern w:val="2"/>
          <w:sz w:val="30"/>
          <w:szCs w:val="30"/>
          <w:highlight w:val="none"/>
          <w:lang w:val="en-US" w:eastAsia="zh-CN" w:bidi="ar-SA"/>
        </w:rPr>
        <w:t>当中，</w:t>
      </w:r>
      <w:r>
        <w:rPr>
          <w:rFonts w:hint="eastAsia" w:ascii="仿宋_GB2312" w:hAnsi="Times New Roman" w:eastAsia="仿宋_GB2312" w:cs="Times New Roman"/>
          <w:color w:val="auto"/>
          <w:kern w:val="2"/>
          <w:sz w:val="30"/>
          <w:szCs w:val="30"/>
          <w:highlight w:val="none"/>
          <w:lang w:val="en-US" w:eastAsia="zh-CN" w:bidi="ar-SA"/>
        </w:rPr>
        <w:t>财政资金支出率为100%</w:t>
      </w:r>
      <w:r>
        <w:rPr>
          <w:rFonts w:hint="eastAsia" w:ascii="仿宋_GB2312" w:eastAsia="仿宋_GB2312" w:cs="Times New Roman"/>
          <w:color w:val="auto"/>
          <w:kern w:val="2"/>
          <w:sz w:val="30"/>
          <w:szCs w:val="30"/>
          <w:highlight w:val="none"/>
          <w:lang w:val="en-US" w:eastAsia="zh-CN" w:bidi="ar-SA"/>
        </w:rPr>
        <w:t>。</w:t>
      </w:r>
      <w:r>
        <w:rPr>
          <w:rFonts w:hint="eastAsia" w:ascii="仿宋_GB2312" w:eastAsia="仿宋_GB2312"/>
          <w:color w:val="auto"/>
          <w:sz w:val="30"/>
          <w:szCs w:val="30"/>
          <w:highlight w:val="none"/>
          <w:lang w:eastAsia="zh-CN"/>
        </w:rPr>
        <w:t>从核查情况看，</w:t>
      </w:r>
      <w:r>
        <w:rPr>
          <w:rFonts w:hint="eastAsia" w:ascii="仿宋_GB2312" w:eastAsia="仿宋_GB2312"/>
          <w:color w:val="auto"/>
          <w:sz w:val="30"/>
          <w:szCs w:val="30"/>
          <w:highlight w:val="none"/>
          <w:lang w:val="en-US" w:eastAsia="zh-CN"/>
        </w:rPr>
        <w:t>东山街道办美丽乡村建设经费</w:t>
      </w:r>
      <w:r>
        <w:rPr>
          <w:rFonts w:hint="eastAsia" w:ascii="仿宋_GB2312" w:eastAsia="仿宋_GB2312"/>
          <w:color w:val="auto"/>
          <w:sz w:val="30"/>
          <w:szCs w:val="30"/>
          <w:highlight w:val="none"/>
          <w:lang w:eastAsia="zh-CN"/>
        </w:rPr>
        <w:t>的管理及使用情况基本合法</w:t>
      </w:r>
      <w:r>
        <w:rPr>
          <w:rFonts w:hint="eastAsia" w:ascii="仿宋_GB2312" w:eastAsia="仿宋_GB2312"/>
          <w:color w:val="auto"/>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keepNext w:val="0"/>
        <w:keepLines w:val="0"/>
        <w:widowControl/>
        <w:suppressLineNumbers w:val="0"/>
        <w:ind w:firstLine="600" w:firstLineChars="200"/>
        <w:jc w:val="left"/>
        <w:rPr>
          <w:rFonts w:hint="eastAsia" w:ascii="仿宋_GB2312" w:eastAsia="仿宋_GB2312"/>
          <w:sz w:val="30"/>
          <w:szCs w:val="30"/>
          <w:lang w:eastAsia="zh-CN"/>
        </w:rPr>
      </w:pPr>
      <w:r>
        <w:rPr>
          <w:rFonts w:hint="eastAsia" w:ascii="仿宋_GB2312" w:hAnsi="Times New Roman" w:eastAsia="仿宋_GB2312" w:cs="Times New Roman"/>
          <w:kern w:val="2"/>
          <w:sz w:val="30"/>
          <w:szCs w:val="30"/>
          <w:lang w:val="en-US" w:eastAsia="zh-CN" w:bidi="ar-SA"/>
        </w:rPr>
        <w:t xml:space="preserve">结合本项目具体情况，湛江经济技术开发区东山街道办事处作为项目建设单位，根据项目责任制相关要求，建设单位全面负责工程投资控制、合同管理、质量、工期、安全等方面的管理，指导、服务、监督以及保证动态管理、动态施工的顺利畅通，确保施工作业队伍的工作紧张有序地进行。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1、项目成本（预算）控制情况。为了最大限度的利用有限的资金，</w:t>
      </w:r>
      <w:r>
        <w:rPr>
          <w:rFonts w:hint="eastAsia" w:ascii="仿宋_GB2312" w:eastAsia="仿宋_GB2312" w:cs="Times New Roman"/>
          <w:kern w:val="2"/>
          <w:sz w:val="30"/>
          <w:szCs w:val="30"/>
          <w:lang w:val="en-US" w:eastAsia="zh-CN" w:bidi="ar-SA"/>
        </w:rPr>
        <w:t>各预算单位要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color w:val="auto"/>
          <w:kern w:val="2"/>
          <w:sz w:val="30"/>
          <w:szCs w:val="30"/>
          <w:lang w:val="en-US" w:eastAsia="zh-CN" w:bidi="ar-SA"/>
        </w:rPr>
        <w:t>东山街道办美丽乡村建设</w:t>
      </w:r>
      <w:r>
        <w:rPr>
          <w:rFonts w:hint="default" w:ascii="仿宋_GB2312" w:hAnsi="Times New Roman" w:eastAsia="仿宋_GB2312" w:cs="Times New Roman"/>
          <w:color w:val="auto"/>
          <w:kern w:val="2"/>
          <w:sz w:val="30"/>
          <w:szCs w:val="30"/>
          <w:lang w:val="en-US" w:eastAsia="zh-CN" w:bidi="ar-SA"/>
        </w:rPr>
        <w:t>工作均按照预定计划完</w:t>
      </w:r>
      <w:r>
        <w:rPr>
          <w:rFonts w:hint="default" w:ascii="仿宋_GB2312" w:hAnsi="Times New Roman" w:eastAsia="仿宋_GB2312" w:cs="Times New Roman"/>
          <w:kern w:val="2"/>
          <w:sz w:val="30"/>
          <w:szCs w:val="30"/>
          <w:lang w:val="en-US" w:eastAsia="zh-CN" w:bidi="ar-SA"/>
        </w:rPr>
        <w:t>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keepNext w:val="0"/>
        <w:keepLines w:val="0"/>
        <w:widowControl/>
        <w:suppressLineNumbers w:val="0"/>
        <w:ind w:firstLine="600" w:firstLineChars="200"/>
        <w:jc w:val="left"/>
      </w:pPr>
      <w:r>
        <w:rPr>
          <w:rFonts w:hint="eastAsia" w:ascii="仿宋_GB2312" w:eastAsia="仿宋_GB2312" w:cs="Times New Roman"/>
          <w:kern w:val="2"/>
          <w:sz w:val="30"/>
          <w:szCs w:val="30"/>
          <w:lang w:val="en-US" w:eastAsia="zh-CN" w:bidi="ar-SA"/>
        </w:rPr>
        <w:t>项目的实施，</w:t>
      </w:r>
      <w:r>
        <w:rPr>
          <w:rFonts w:hint="eastAsia" w:ascii="仿宋_GB2312" w:hAnsi="Times New Roman" w:eastAsia="仿宋_GB2312" w:cs="Times New Roman"/>
          <w:kern w:val="2"/>
          <w:sz w:val="30"/>
          <w:szCs w:val="30"/>
          <w:lang w:val="en-US" w:eastAsia="zh-CN" w:bidi="ar-SA"/>
        </w:rPr>
        <w:t>有效落实乡村振兴战略，提高农村地区农民的生活质量。通过农村人饮巩固提升工程的实施，能够提高饮水安全水平，让居民身体更健康；通过农村污水处理工程的实施，能够减少污水横流，提升空气质量，减少水质污染，减少疾病发生；通过农村垃圾处理的实施，能够减少垃圾遍地，减少垃圾污染空气，减少垃圾影响水质，减少疾病发生；通过厕所革命，能够提高卫生水平，减少臭气，减少疾病发生。</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经核查</w:t>
      </w:r>
      <w:r>
        <w:rPr>
          <w:rFonts w:hint="eastAsia" w:ascii="仿宋_GB2312" w:eastAsia="仿宋_GB2312" w:cs="Times New Roman"/>
          <w:kern w:val="2"/>
          <w:sz w:val="30"/>
          <w:szCs w:val="30"/>
          <w:highlight w:val="none"/>
          <w:lang w:val="en-US" w:eastAsia="zh-CN" w:bidi="ar-SA"/>
        </w:rPr>
        <w:t>资料，项目预算编制仅有一个总金额为20.00万元，未细化到各预算单位工程项目</w:t>
      </w:r>
      <w:r>
        <w:rPr>
          <w:rFonts w:hint="eastAsia" w:ascii="仿宋_GB2312" w:eastAsia="仿宋_GB2312" w:cs="Times New Roman"/>
          <w:kern w:val="2"/>
          <w:sz w:val="30"/>
          <w:szCs w:val="30"/>
          <w:lang w:val="en-US" w:eastAsia="zh-CN" w:bidi="ar-SA"/>
        </w:rPr>
        <w:t>内容及支出金额明细，项目</w:t>
      </w:r>
      <w:r>
        <w:rPr>
          <w:rFonts w:hint="eastAsia" w:ascii="仿宋_GB2312" w:eastAsia="仿宋_GB2312" w:cs="Times New Roman"/>
          <w:kern w:val="2"/>
          <w:sz w:val="30"/>
          <w:szCs w:val="30"/>
          <w:highlight w:val="none"/>
          <w:lang w:val="en-US" w:eastAsia="zh-CN" w:bidi="ar-SA"/>
        </w:rPr>
        <w:t>预算可进一步完善。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垃圾处理的投入与垃圾处理的需求相比仍明显不足，垃圾处理的水平还很低，生活垃圾处理还处于由粗放到处理的发展阶段。</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细化项目预算资金组成，保证项目预算编制依据充分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3、安排专人负责跟踪整个事项，熟悉整个工作流程，按文件规定做好各工作流程的事项，并做好资料的整理及保管。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4、为避免矛盾，垃圾集中清理前，应及时告知居民，堆放的杂物进行先期清理，将有用的物件妥善保管。</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美丽乡村建设工作经费支出的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85</w:t>
      </w:r>
      <w:r>
        <w:rPr>
          <w:rFonts w:hint="eastAsia" w:ascii="仿宋_GB2312" w:hAnsi="Times New Roman" w:eastAsia="仿宋_GB2312" w:cs="Times New Roman"/>
          <w:kern w:val="2"/>
          <w:sz w:val="30"/>
          <w:szCs w:val="30"/>
          <w:lang w:val="en-US" w:eastAsia="zh-CN" w:bidi="ar-SA"/>
        </w:rPr>
        <w:t>分</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（详见附表）。</w:t>
      </w: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2022年1月17日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22A649AF"/>
    <w:multiLevelType w:val="singleLevel"/>
    <w:tmpl w:val="22A649AF"/>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7F61E7"/>
    <w:rsid w:val="02C65C36"/>
    <w:rsid w:val="0497740F"/>
    <w:rsid w:val="0FAD6294"/>
    <w:rsid w:val="10EA41B2"/>
    <w:rsid w:val="166E5287"/>
    <w:rsid w:val="1A1A3935"/>
    <w:rsid w:val="1A903DE6"/>
    <w:rsid w:val="226A2AB9"/>
    <w:rsid w:val="232D1A99"/>
    <w:rsid w:val="247054C4"/>
    <w:rsid w:val="29364AA5"/>
    <w:rsid w:val="2B061A95"/>
    <w:rsid w:val="2F967B5A"/>
    <w:rsid w:val="34001D2F"/>
    <w:rsid w:val="34235FC0"/>
    <w:rsid w:val="34AC52EB"/>
    <w:rsid w:val="37193A60"/>
    <w:rsid w:val="38A03F7C"/>
    <w:rsid w:val="3AA31A98"/>
    <w:rsid w:val="3E9F0EEA"/>
    <w:rsid w:val="44133DBB"/>
    <w:rsid w:val="45DD0277"/>
    <w:rsid w:val="477536A2"/>
    <w:rsid w:val="4D4E44D3"/>
    <w:rsid w:val="50D65FF3"/>
    <w:rsid w:val="50E8551B"/>
    <w:rsid w:val="53B576D4"/>
    <w:rsid w:val="5B7326E1"/>
    <w:rsid w:val="61140575"/>
    <w:rsid w:val="626C14AC"/>
    <w:rsid w:val="63F805D2"/>
    <w:rsid w:val="670F61D3"/>
    <w:rsid w:val="69164B73"/>
    <w:rsid w:val="6B78748E"/>
    <w:rsid w:val="6CD720AF"/>
    <w:rsid w:val="6D413A4B"/>
    <w:rsid w:val="6DF371E9"/>
    <w:rsid w:val="716C3AA9"/>
    <w:rsid w:val="72312642"/>
    <w:rsid w:val="72332ABB"/>
    <w:rsid w:val="79581D85"/>
    <w:rsid w:val="797C1F70"/>
    <w:rsid w:val="7B3D67E1"/>
    <w:rsid w:val="7CB84245"/>
    <w:rsid w:val="7D8174AF"/>
    <w:rsid w:val="7E950A27"/>
    <w:rsid w:val="7FA7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2010</Words>
  <Characters>2070</Characters>
  <Lines>0</Lines>
  <Paragraphs>0</Paragraphs>
  <TotalTime>21</TotalTime>
  <ScaleCrop>false</ScaleCrop>
  <LinksUpToDate>false</LinksUpToDate>
  <CharactersWithSpaces>2130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2022-03-16T04:01:49Z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0B4133CEE7DD452889158BEACE48D1E5</vt:lpwstr>
  </property>
</Properties>
</file>