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湛江经济技术开发区经济贸易和科技局2021年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政策性农村住房保险区级财政补贴保费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项目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为加强对</w:t>
      </w:r>
      <w:r>
        <w:rPr>
          <w:rFonts w:hint="eastAsia" w:ascii="仿宋_GB2312" w:eastAsia="仿宋_GB2312"/>
          <w:sz w:val="30"/>
          <w:szCs w:val="30"/>
          <w:lang w:eastAsia="zh-CN"/>
        </w:rPr>
        <w:t>政策性农村住房保险区级财政补贴保费</w:t>
      </w:r>
      <w:r>
        <w:rPr>
          <w:rFonts w:hint="eastAsia" w:ascii="仿宋_GB2312" w:eastAsia="仿宋_GB2312"/>
          <w:sz w:val="30"/>
          <w:szCs w:val="30"/>
        </w:rPr>
        <w:t>资金的使用管理，提高财政资金使用效益，根据《关于印发项目支出绩效评价管理办法的通知》（财预〔2020〕10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湛江市经济技术开发区经济贸易和科技局2021年政策性农村住房保险区级财政补贴保费14.08万元进行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政策性农业保险区级配套资金项目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2021年度资金共计14.08万元，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项目单位为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湛江经济技术开发区经济贸易和科技局。该资金全部统筹用于经开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农业保险区级配套资金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费用支出。项目实施范围主要为经开区内常住农户、拥有农村土地承包经营权或宅基地使用权的所有居民。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政策性农业保险区级配套资金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主要是为了适应经济发展的需要，充分发挥财政保费补贴的引导作用，创新政府防灾减灾救灾模式，进一步增强农村地区综合抗灾能力，充分保障农民的权益。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二、绩效目标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切实抓好全区农业保险区级配套资金工作，做好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全区范围内具有农业户籍的常住农户、拥有农村土地承包经营权或宅基地使用权的所有居民的保险实施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工作，增强广大农户的参保意识，提高参保积极性，全力营造有利于开展农房保险工作的环境氛围。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三、项目资金使用及管理情况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政策性农业保险区级配套资金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项目预算为14.08万元，财政到位资金14.08万元，财政资金到位率100%。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项目支出金额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14.08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，已全部用于交付保费，财政资金支出率为100%。从核查情况看，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政策性农业保险区级配套资金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政策性农业保险区级配套资金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在实施过程比较规范，各部门都高度重视，精心组织，加强协作，市金融局负责推进我市农房保险工作，市民政局、财政局、农业局等部门积极配合；在公开机制方面较为规范，信息化管理较为健全，履行手续完备。资金使用按照相关文件要求，未发现存在挤占、截留或挪用征拆资金情况。资金支付手续齐全，没有发现超范围和超标准使用资金，财务制度较为规范，能够按照制度办理结算和会计核算。项目的监管比较到位，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从而确保了该项目的顺利组织、实施与完成。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项目绩效情况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给农户购买农房保险，有利于充分保障农户的生活条件，为我国农业生产提供强有力支撑，可以最大程度保障农户的基本权益。在我国，农业是国民经济的基础，积极开展和推动农房保险全面铺开，对国民经济的开展和农业的产值都有重要的影响。农房保险的存在对农户和农业生产都能起到很大的积极作用，值得推广使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项目实施过程能够按照计划进行，阶段性目标清晰，按照进度开展项目，在实施过程中取得良好效益。农业保险区级配套项目资金全部用于农户购买农房保险，给予农户更好的居住保障。项目过程合规合法，手续规范，建设内容符合规定。该项目资金的管理及使用情况基本符合规定，未发现存在挤占、截留或挪用扶贫专项资金情况，没有发现超范围和超标准使用资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通过实施该项目，依法给农户购买农房保险，及时给予农户更多的保障服务，维护农业稳定发展;各项保险工作顺利开展，切实提高了农户的生活水平，为农业生产提供强有力支撑;积极宣传，广大农户对我县现行保险实施方案标准等几乎家喻户晓:保险实施工作阳光透明、公正公开，得到广大群众的普遍拥护;本着“亲民、为民、便民”的工作态度，热情服务、积极做好各项工作，深得广大群众的支持理解及肯定。依法实施保险方案，健全完善基层协保体系，培训一批熟悉农房、服务农户的协保员，协助做好各项工作，创建和谐稳定的环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存在的问题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前期工作的制度措施方面存在问题。如：没有提供项目管理制度。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七、相关建议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1、加强组织领导。各县、各有关部门要高度重视，精心组织，加强协作，不断完善工作机制，确保资金及时足额落实到位，组织好有关部门和行政村，协助承保机构做好各种手续工作。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2.建议以各镇街主体，以村为集体，提前安排一名工作负责人负责保险解释工作，对群众讲解购买保险的重要性，化解群众的心理担忧，同时多听取群众意见，采纳群众的合理建议。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3、广泛宣传，广泛宣传开展农房保险工作的意义和具体政策措施，向农户宣传普及农房保险知识，明确保险里面的各项内容，增强广大农户参保意识，提高参保积极性。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4、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积极与相关部门沟通并跟进工作进度，确保各项工作的开展，协助承保机构做好农户信息核实、办理投保手续、农房查勘定损和发放理赔款项等工作，及时调解争议纠纷。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八、评价结果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根据绩效评价方法，遵循“客观、公证、科学、规范”的原则，采用目标预定与实施效果相比较的评价方法，听取资金使用单位意见的基础上，通过现场答辩、核实相关资料、实地勘验项目等环节，结合现场评价情况，得出绩效评价结果，2021年政策性农村住房保险区级财政补贴保费项目的评价结果为90分（详见附表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0" w:firstLineChars="0"/>
        <w:jc w:val="both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center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center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2022年1月19日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  <w:lang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327" w:left="180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abstractNum w:abstractNumId="1">
    <w:nsid w:val="3E5596DA"/>
    <w:multiLevelType w:val="singleLevel"/>
    <w:tmpl w:val="3E5596D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MDU0MjIwZGU2NDE3YjM2NWY0OGY2MDcyYzg2MzAifQ=="/>
  </w:docVars>
  <w:rsids>
    <w:rsidRoot w:val="7C91327F"/>
    <w:rsid w:val="05AC22B4"/>
    <w:rsid w:val="0FC46526"/>
    <w:rsid w:val="1D9A1F5A"/>
    <w:rsid w:val="2C701096"/>
    <w:rsid w:val="3F9808DB"/>
    <w:rsid w:val="43206D51"/>
    <w:rsid w:val="46BB2FA5"/>
    <w:rsid w:val="4726714C"/>
    <w:rsid w:val="48F94932"/>
    <w:rsid w:val="4C2F6C80"/>
    <w:rsid w:val="567A784E"/>
    <w:rsid w:val="5BAF1987"/>
    <w:rsid w:val="5F0F1CFB"/>
    <w:rsid w:val="67BB4C30"/>
    <w:rsid w:val="71E46750"/>
    <w:rsid w:val="7C91327F"/>
    <w:rsid w:val="7D5B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2078</Words>
  <Characters>2130</Characters>
  <Lines>0</Lines>
  <Paragraphs>0</Paragraphs>
  <TotalTime>7</TotalTime>
  <ScaleCrop>false</ScaleCrop>
  <LinksUpToDate>false</LinksUpToDate>
  <CharactersWithSpaces>2164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2022-03-09T01:02:00Z</dcterms:created>
  <dc:creator>☁ 小云 ☁</dc:creator>
  <cp:lastModifiedBy>W.C.</cp:lastModifiedBy>
  <dcterms:modified xsi:type="dcterms:W3CDTF">2024-02-28T09:28:13Z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59D306F85BD242068C0C7A2D4B0721E1</vt:lpwstr>
  </property>
</Properties>
</file>